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</w:rPr>
        <w:t>2020-09-23 05:30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ja-JP" w:eastAsia="ja-JP"/>
        </w:rPr>
        <w:t>管淑平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  <w:u w:val="single"/>
        </w:rPr>
      </w:pPr>
      <w:r>
        <w:rPr>
          <w:rFonts w:ascii="Times Roman" w:cs="Times Roman" w:hAnsi="Times Roman" w:eastAsia="Times Roman"/>
          <w:sz w:val="26"/>
          <w:szCs w:val="26"/>
          <w:u w:val="single"/>
        </w:rPr>
        <w:fldChar w:fldCharType="begin" w:fldLock="0"/>
      </w:r>
      <w:r>
        <w:rPr>
          <w:rFonts w:ascii="Times Roman" w:cs="Times Roman" w:hAnsi="Times Roman" w:eastAsia="Times Roman"/>
          <w:sz w:val="26"/>
          <w:szCs w:val="26"/>
          <w:u w:val="single"/>
        </w:rPr>
        <w:instrText xml:space="preserve"> HYPERLINK "https://features.ltn.com.tw/english/article/paper/1401557"</w:instrText>
      </w:r>
      <w:r>
        <w:rPr>
          <w:rFonts w:ascii="Times Roman" w:cs="Times Roman" w:hAnsi="Times Roman" w:eastAsia="Times Roman"/>
          <w:sz w:val="26"/>
          <w:szCs w:val="26"/>
          <w:u w:val="single"/>
        </w:rPr>
        <w:fldChar w:fldCharType="separate" w:fldLock="0"/>
      </w:r>
      <w:r>
        <w:rPr>
          <w:rFonts w:ascii="Times Roman" w:hAnsi="Times Roman"/>
          <w:sz w:val="26"/>
          <w:szCs w:val="26"/>
          <w:u w:val="single"/>
          <w:rtl w:val="0"/>
          <w:lang w:val="en-US"/>
        </w:rPr>
        <w:t>https://features.ltn.com.tw/english/article/paper/1401557</w:t>
      </w:r>
      <w:r>
        <w:rPr>
          <w:rFonts w:ascii="Times Roman" w:cs="Times Roman" w:hAnsi="Times Roman" w:eastAsia="Times Roman"/>
          <w:sz w:val="26"/>
          <w:szCs w:val="26"/>
          <w:u w:val="single"/>
        </w:rPr>
        <w:fldChar w:fldCharType="end" w:fldLock="0"/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  <w:r>
        <w:rPr>
          <w:rFonts w:eastAsia="HanWangMingMediumChuIn" w:hint="eastAsia"/>
          <w:sz w:val="30"/>
          <w:szCs w:val="30"/>
          <w:rtl w:val="0"/>
          <w:lang w:val="zh-TW" w:eastAsia="zh-TW"/>
        </w:rPr>
        <w:t xml:space="preserve">逾半數美國年輕人與父母同住 </w:t>
      </w: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  <w:r>
        <w:rPr>
          <w:rFonts w:eastAsia="HanWangMingMediumChuIn" w:hint="eastAsia"/>
          <w:sz w:val="30"/>
          <w:szCs w:val="30"/>
          <w:rtl w:val="0"/>
          <w:lang w:val="zh-TW" w:eastAsia="zh-TW"/>
        </w:rPr>
        <w:t>研究人員週五表示，逾</w:t>
      </w:r>
      <w:r>
        <w:rPr>
          <w:rFonts w:ascii="HanWangMingMediumChuIn" w:hAnsi="HanWangMingMediumChuIn"/>
          <w:sz w:val="30"/>
          <w:szCs w:val="30"/>
          <w:rtl w:val="0"/>
        </w:rPr>
        <w:t>5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成的美國年輕人與他們的父母住在一起，這高</w:t>
      </w:r>
      <w:r>
        <w:rPr>
          <w:rFonts w:eastAsia="HanWangMingMediumPoIn1" w:hint="eastAsia"/>
          <w:sz w:val="30"/>
          <w:szCs w:val="30"/>
          <w:rtl w:val="0"/>
        </w:rPr>
        <w:t>得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空前的比例，無疑</w:t>
      </w:r>
      <w:r>
        <w:rPr>
          <w:rFonts w:eastAsia="HanWangMingMediumPoIn1" w:hint="eastAsia"/>
          <w:sz w:val="30"/>
          <w:szCs w:val="30"/>
          <w:rtl w:val="0"/>
        </w:rPr>
        <w:t>地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與新型冠狀病毒疫情有關聯，但是也反映更深層趨勢。在</w:t>
      </w:r>
      <w:r>
        <w:rPr>
          <w:rFonts w:ascii="HanWangMingMediumChuIn" w:hAnsi="HanWangMingMediumChuIn"/>
          <w:sz w:val="30"/>
          <w:szCs w:val="30"/>
          <w:rtl w:val="0"/>
        </w:rPr>
        <w:t>2</w:t>
      </w:r>
      <w:r>
        <w:rPr>
          <w:rFonts w:eastAsia="HanWangMingMediumChuIn" w:hint="eastAsia"/>
          <w:sz w:val="30"/>
          <w:szCs w:val="30"/>
          <w:rtl w:val="0"/>
          <w:lang w:val="zh-CN" w:eastAsia="zh-CN"/>
        </w:rPr>
        <w:t>月到</w:t>
      </w:r>
      <w:r>
        <w:rPr>
          <w:rFonts w:ascii="HanWangMingMediumChuIn" w:hAnsi="HanWangMingMediumChuIn"/>
          <w:sz w:val="30"/>
          <w:szCs w:val="30"/>
          <w:rtl w:val="0"/>
        </w:rPr>
        <w:t>5</w:t>
      </w:r>
      <w:r>
        <w:rPr>
          <w:rFonts w:eastAsia="HanWangMingMediumChuIn" w:hint="eastAsia"/>
          <w:sz w:val="30"/>
          <w:szCs w:val="30"/>
          <w:rtl w:val="0"/>
          <w:lang w:val="ja-JP" w:eastAsia="ja-JP"/>
        </w:rPr>
        <w:t>月間，</w:t>
      </w:r>
      <w:r>
        <w:rPr>
          <w:rFonts w:ascii="HanWangMingMediumChuIn" w:hAnsi="HanWangMingMediumChuIn"/>
          <w:sz w:val="30"/>
          <w:szCs w:val="30"/>
          <w:rtl w:val="0"/>
        </w:rPr>
        <w:t>18</w:t>
      </w:r>
      <w:r>
        <w:rPr>
          <w:rFonts w:eastAsia="HanWangMingMediumChuIn" w:hint="eastAsia"/>
          <w:sz w:val="30"/>
          <w:szCs w:val="30"/>
          <w:rtl w:val="0"/>
          <w:lang w:val="zh-CN" w:eastAsia="zh-CN"/>
        </w:rPr>
        <w:t>到</w:t>
      </w:r>
      <w:r>
        <w:rPr>
          <w:rFonts w:ascii="HanWangMingMediumChuIn" w:hAnsi="HanWangMingMediumChuIn"/>
          <w:sz w:val="30"/>
          <w:szCs w:val="30"/>
          <w:rtl w:val="0"/>
        </w:rPr>
        <w:t>29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歲族群中與父母其中至少</w:t>
      </w:r>
      <w:r>
        <w:rPr>
          <w:rFonts w:ascii="HanWangMingMediumChuIn" w:hAnsi="HanWangMingMediumChuIn"/>
          <w:sz w:val="30"/>
          <w:szCs w:val="30"/>
          <w:rtl w:val="0"/>
        </w:rPr>
        <w:t>1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人同住的比例從</w:t>
      </w:r>
      <w:r>
        <w:rPr>
          <w:rFonts w:ascii="HanWangMingMediumChuIn" w:hAnsi="HanWangMingMediumChuIn"/>
          <w:sz w:val="30"/>
          <w:szCs w:val="30"/>
          <w:rtl w:val="0"/>
        </w:rPr>
        <w:t>47</w:t>
      </w:r>
      <w:r>
        <w:rPr>
          <w:rFonts w:eastAsia="HanWangMingMediumChuIn" w:hint="eastAsia"/>
          <w:sz w:val="30"/>
          <w:szCs w:val="30"/>
          <w:rtl w:val="0"/>
          <w:lang w:val="zh-CN" w:eastAsia="zh-CN"/>
        </w:rPr>
        <w:t>％增加到</w:t>
      </w:r>
      <w:r>
        <w:rPr>
          <w:rFonts w:ascii="HanWangMingMediumChuIn" w:hAnsi="HanWangMingMediumChuIn"/>
          <w:sz w:val="30"/>
          <w:szCs w:val="30"/>
          <w:rtl w:val="0"/>
        </w:rPr>
        <w:t>52</w:t>
      </w:r>
      <w:r>
        <w:rPr>
          <w:rFonts w:eastAsia="HanWangMingMediumChuIn" w:hint="eastAsia"/>
          <w:sz w:val="30"/>
          <w:szCs w:val="30"/>
          <w:rtl w:val="0"/>
          <w:lang w:val="zh-CN" w:eastAsia="zh-CN"/>
        </w:rPr>
        <w:t>％，到</w:t>
      </w:r>
      <w:r>
        <w:rPr>
          <w:rFonts w:ascii="HanWangMingMediumChuIn" w:hAnsi="HanWangMingMediumChuIn"/>
          <w:sz w:val="30"/>
          <w:szCs w:val="30"/>
          <w:rtl w:val="0"/>
        </w:rPr>
        <w:t>7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月都一直維持這樣的比例。</w:t>
      </w:r>
      <w:r>
        <w:rPr>
          <w:rFonts w:ascii="HanWangMingMediumChuIn" w:hAnsi="HanWangMingMediumChuIn"/>
          <w:sz w:val="30"/>
          <w:szCs w:val="30"/>
          <w:rtl w:val="0"/>
        </w:rPr>
        <w:t>18</w:t>
      </w:r>
      <w:r>
        <w:rPr>
          <w:rFonts w:eastAsia="HanWangMingMediumChuIn" w:hint="eastAsia"/>
          <w:sz w:val="30"/>
          <w:szCs w:val="30"/>
          <w:rtl w:val="0"/>
          <w:lang w:val="zh-CN" w:eastAsia="zh-CN"/>
        </w:rPr>
        <w:t>到</w:t>
      </w:r>
      <w:r>
        <w:rPr>
          <w:rFonts w:ascii="HanWangMingMediumChuIn" w:hAnsi="HanWangMingMediumChuIn"/>
          <w:sz w:val="30"/>
          <w:szCs w:val="30"/>
          <w:rtl w:val="0"/>
        </w:rPr>
        <w:t>24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歲族群與父母同住的比例增加</w:t>
      </w:r>
      <w:r>
        <w:rPr>
          <w:rFonts w:eastAsia="HanWangMingMediumPoIn1" w:hint="eastAsia"/>
          <w:sz w:val="30"/>
          <w:szCs w:val="30"/>
          <w:rtl w:val="0"/>
        </w:rPr>
        <w:t>得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最明顯，從</w:t>
      </w:r>
      <w:r>
        <w:rPr>
          <w:rFonts w:ascii="HanWangMingMediumChuIn" w:hAnsi="HanWangMingMediumChuIn"/>
          <w:sz w:val="30"/>
          <w:szCs w:val="30"/>
          <w:rtl w:val="0"/>
        </w:rPr>
        <w:t>2</w:t>
      </w:r>
      <w:r>
        <w:rPr>
          <w:rFonts w:eastAsia="HanWangMingMediumChuIn" w:hint="eastAsia"/>
          <w:sz w:val="30"/>
          <w:szCs w:val="30"/>
          <w:rtl w:val="0"/>
          <w:lang w:val="zh-CN" w:eastAsia="zh-CN"/>
        </w:rPr>
        <w:t>月的</w:t>
      </w:r>
      <w:r>
        <w:rPr>
          <w:rFonts w:ascii="HanWangMingMediumChuIn" w:hAnsi="HanWangMingMediumChuIn"/>
          <w:sz w:val="30"/>
          <w:szCs w:val="30"/>
          <w:rtl w:val="0"/>
        </w:rPr>
        <w:t>63</w:t>
      </w:r>
      <w:r>
        <w:rPr>
          <w:rFonts w:eastAsia="HanWangMingMediumChuIn" w:hint="eastAsia"/>
          <w:sz w:val="30"/>
          <w:szCs w:val="30"/>
          <w:rtl w:val="0"/>
          <w:lang w:val="zh-CN" w:eastAsia="zh-CN"/>
        </w:rPr>
        <w:t>％增加到</w:t>
      </w:r>
      <w:r>
        <w:rPr>
          <w:rFonts w:ascii="HanWangMingMediumChuIn" w:hAnsi="HanWangMingMediumChuIn"/>
          <w:sz w:val="30"/>
          <w:szCs w:val="30"/>
          <w:rtl w:val="0"/>
        </w:rPr>
        <w:t>7</w:t>
      </w:r>
      <w:r>
        <w:rPr>
          <w:rFonts w:eastAsia="HanWangMingMediumChuIn" w:hint="eastAsia"/>
          <w:sz w:val="30"/>
          <w:szCs w:val="30"/>
          <w:rtl w:val="0"/>
          <w:lang w:val="zh-CN" w:eastAsia="zh-CN"/>
        </w:rPr>
        <w:t>月的</w:t>
      </w:r>
      <w:r>
        <w:rPr>
          <w:rFonts w:ascii="HanWangMingMediumChuIn" w:hAnsi="HanWangMingMediumChuIn"/>
          <w:sz w:val="30"/>
          <w:szCs w:val="30"/>
          <w:rtl w:val="0"/>
        </w:rPr>
        <w:t>71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％。各族裔分類顯示，這種趨勢在西裔族群最明顯。皮優說，儘管年輕人受疫情影響日子難過，推升與父母同住的比例，但是這也是長期模式的一環。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  <w:r>
        <w:rPr>
          <w:rFonts w:eastAsia="Hanzi-Pinyin-Font" w:hint="eastAsia"/>
          <w:sz w:val="40"/>
          <w:szCs w:val="40"/>
          <w:rtl w:val="0"/>
          <w:lang w:val="zh-CN" w:eastAsia="zh-CN"/>
        </w:rPr>
        <w:t>逾半数美国年轻人与父母同住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 xml:space="preserve"> </w:t>
      </w: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</w:p>
    <w:p>
      <w:pPr>
        <w:pStyle w:val="Body"/>
        <w:jc w:val="both"/>
      </w:pPr>
      <w:r>
        <w:rPr>
          <w:rFonts w:eastAsia="Hanzi-Pinyin-Font" w:hint="eastAsia"/>
          <w:sz w:val="40"/>
          <w:szCs w:val="40"/>
          <w:rtl w:val="0"/>
          <w:lang w:val="zh-CN" w:eastAsia="zh-CN"/>
        </w:rPr>
        <w:t>研究人员周五表示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TW" w:eastAsia="zh-TW"/>
        </w:rPr>
        <w:t>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5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成的美国年轻人与他们的父母住在一起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这高得空前的比例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无疑地与新型冠状病毒疫情有关联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但是也反映更深层趋势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</w:rPr>
        <w:t>在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2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月到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5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月间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18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29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岁族群中与父母其中至少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1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人同住的比例从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47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％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增加到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52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％，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7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月都一直维持这样的比例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18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24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岁族群与父母同住的比例增加得最明显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从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2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月的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63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％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增加到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7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月的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71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％。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各族裔分类显示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这种趋势在西裔族群最明显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皮优说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尽管年轻人受疫情影响日子难过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推升与父母同住的比例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但是这也是长期模式的一环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</w:rPr>
        <w:br w:type="page"/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More than half of young Americans live with parents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Just over half of young adult Americans live with their parents, an unprecedented proportion that is doubtless linked to the coronavirus but also reflects a deeper trend, researchers said Friday.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 </w:t>
      </w:r>
      <w:r>
        <w:rPr>
          <w:rFonts w:ascii="Times Roman" w:hAnsi="Times Roman"/>
          <w:sz w:val="26"/>
          <w:szCs w:val="26"/>
          <w:rtl w:val="0"/>
          <w:lang w:val="en-US"/>
        </w:rPr>
        <w:t>Between February and May, the share of 18-29 year-olds living with at least one parent rose from 47 percent to 52 percent and stayed at that level through July.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 </w:t>
      </w:r>
      <w:r>
        <w:rPr>
          <w:rFonts w:ascii="Times Roman" w:hAnsi="Times Roman"/>
          <w:sz w:val="26"/>
          <w:szCs w:val="26"/>
          <w:rtl w:val="0"/>
          <w:lang w:val="en-US"/>
        </w:rPr>
        <w:t>The rise was most marked among 18-24 year-olds, with 71 percent of them living with their parents in July, up from 63 percent in February.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 </w:t>
      </w:r>
      <w:r>
        <w:rPr>
          <w:rFonts w:ascii="Times Roman" w:hAnsi="Times Roman"/>
          <w:sz w:val="26"/>
          <w:szCs w:val="26"/>
          <w:rtl w:val="0"/>
          <w:lang w:val="en-US"/>
        </w:rPr>
        <w:t>Among ethnic groups, the breakdown showed that the trend was strongest inside the Hispanic community.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Even though the increase was pushed by the pandemic as young adults struggled to get by, it is part of a longer-term pattern, Pew says. 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tbl>
      <w:tblPr>
        <w:tblW w:w="10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15"/>
        <w:gridCol w:w="1286"/>
        <w:gridCol w:w="7879"/>
      </w:tblGrid>
      <w:tr>
        <w:tblPrEx>
          <w:shd w:val="clear" w:color="auto" w:fill="auto"/>
        </w:tblPrEx>
        <w:trPr>
          <w:trHeight w:val="627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逾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to exceed / to go beyond / to transcend / to cross over / to jump over / variant of 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[y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]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半數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half the number / half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美國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igu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ó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United States / USA / US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年輕人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ni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young people / youngster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父母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ǔ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father and mother / parents</w:t>
            </w:r>
          </w:p>
        </w:tc>
      </w:tr>
      <w:tr>
        <w:tblPrEx>
          <w:shd w:val="clear" w:color="auto" w:fill="auto"/>
        </w:tblPrEx>
        <w:trPr>
          <w:trHeight w:val="687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研究人員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nji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nyu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research worker / research personnel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週五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ǔ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Friday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在一起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ǐ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together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冠狀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nzhu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coronary / crown-shaped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病毒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virus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疫情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epidemic situation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有關聯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ugu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nli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related to / concerning / to be correlated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更深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deep at night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趨勢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trend / tendency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族群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ethnic group / community</w:t>
            </w:r>
          </w:p>
        </w:tc>
      </w:tr>
      <w:tr>
        <w:tblPrEx>
          <w:shd w:val="clear" w:color="auto" w:fill="auto"/>
        </w:tblPrEx>
        <w:trPr>
          <w:trHeight w:val="627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族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race / nationality / ethnicity / clan / by extension, social group (e.g. office workers 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>上班族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裔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descendants / frontier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分類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classification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這種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this / this kind of / this sort of / this type of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優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excellent / superior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模式</w:t>
            </w:r>
          </w:p>
        </w:tc>
        <w:tc>
          <w:tcPr>
            <w:tcW w:type="dxa" w:w="1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7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mode / method / pattern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anWangMingMediumChuIn">
    <w:charset w:val="00"/>
    <w:family w:val="roman"/>
    <w:pitch w:val="default"/>
  </w:font>
  <w:font w:name="HanWangMingMediumPoIn1">
    <w:charset w:val="00"/>
    <w:family w:val="roman"/>
    <w:pitch w:val="default"/>
  </w:font>
  <w:font w:name="Hanzi-Pinyin-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sz w:val="18"/>
        <w:szCs w:val="18"/>
        <w:rtl w:val="0"/>
        <w:lang w:val="zh-TW" w:eastAsia="zh-TW"/>
      </w:rPr>
      <w:t xml:space="preserve">*I included zhuyin &amp; pinyin for your benefit.  They are not 100% correct, given alternative pronunciation.  You may alter them as you see fit.  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我提供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注音和拼音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是為了家長和學生方便，但因為有多音字（破音字），不ㄧ定完全正確，請自行更改。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