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4"/>
          <w:szCs w:val="34"/>
          <w:rtl w:val="0"/>
          <w:lang w:val="zh-TW" w:eastAsia="zh-TW"/>
        </w:rPr>
        <w:t>魔法校車：消化系統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汪達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 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>(Wanda)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：我根本就是玩到樂瘋了。亞諾的消化系統真的就像全世界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最狂野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刺激驚悚的雲霄飛車。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費老師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（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>Ms. Frizzle)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：而且還沒有結束呢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Raphie 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我們去過嘴巴，也去過了食道，又去胃部，然後再去小腸，最後又去大腸，還要去哪裡？特別大的大腸嗎？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費老師：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不，我們只是必須和其他消化廢棄物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一起走到終點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學生：什麼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>Dorothy Ann: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等一下，根據我的研究顯示，廢棄物排出去是走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>......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Keesha: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休想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我以前的學校，是不可能讓學生掉進馬桶裡的。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老師：那麼，你們有更好的點子嗎？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汪達：我們可以回到嘴巴再玩一次啊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學生：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汪達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！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小提：他說得對，我們可以走原路回去。我一直在記錄，看樣子，消化系統只是分成好幾段的消化道。一開始我們進入嘴巴，然後被擠入了食道，接著掉進胃部，又被推著進入小腸，最後我們來到大腸這裡。既然我們都不想被排出去，我們只好掉頭回去。我們大可走原路回去，從大腸走回小腸，再走回胃部，接著經過食道，最後再從嘴巴出去，那並不容易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老師：沒錯小題。消化系統將食物往下推，我們必須逆流而上，很可能會失敗喔。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那可不一定喔，費老師。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亞諾</w:t>
      </w: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(Arnold):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我要怎麼靠吃午餐，才打破紀錄呢？我連自己的午餐都找不到。不知道學校有沒有規定，一定要吃自己的午餐。這裡有巧克力棉花糖蛋糕。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老師：全速前進。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小題：這太瘋狂了。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總比被排出去來得好。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zh-TW" w:eastAsia="zh-TW"/>
        </w:rPr>
        <w:t xml:space="preserve">Raphie: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對了，騎單車是我最愛的運動。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老師：衝啊！輕鬆的部分結束了。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學生：這樣算輕鬆？！</w:t>
      </w: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4"/>
          <w:szCs w:val="34"/>
          <w:rtl w:val="0"/>
          <w:lang w:val="zh-CN" w:eastAsia="zh-CN"/>
        </w:rPr>
        <w:t>魔法校车：消化系统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汪达</w:t>
      </w:r>
      <w:r>
        <w:rPr>
          <w:rFonts w:ascii="Helvetica Neue" w:hAnsi="Helvetica Neue"/>
          <w:sz w:val="30"/>
          <w:szCs w:val="30"/>
          <w:rtl w:val="0"/>
        </w:rPr>
        <w:t xml:space="preserve"> </w:t>
      </w:r>
      <w:r>
        <w:rPr>
          <w:rFonts w:ascii="Helvetica Neue" w:hAnsi="Helvetica Neue"/>
          <w:sz w:val="30"/>
          <w:szCs w:val="30"/>
          <w:rtl w:val="0"/>
          <w:lang w:val="de-DE"/>
        </w:rPr>
        <w:t>(Wanda)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：我根本就是玩到乐疯了。亚诺的消化系统真的就像全世界</w:t>
      </w:r>
      <w:r>
        <w:rPr>
          <w:rFonts w:ascii="Helvetica Neue" w:hAnsi="Helvetica Neue"/>
          <w:sz w:val="30"/>
          <w:szCs w:val="30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ja-JP" w:eastAsia="ja-JP"/>
        </w:rPr>
        <w:t>最狂野</w:t>
      </w:r>
      <w:r>
        <w:rPr>
          <w:rFonts w:ascii="Helvetica Neue" w:hAnsi="Helvetica Neue"/>
          <w:sz w:val="30"/>
          <w:szCs w:val="30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刺激惊悚的云霄飞车。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费老师</w:t>
      </w:r>
      <w:r>
        <w:rPr>
          <w:rFonts w:ascii="Helvetica Neue" w:hAnsi="Helvetica Neue"/>
          <w:sz w:val="30"/>
          <w:szCs w:val="30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</w:rPr>
        <w:t>（</w:t>
      </w:r>
      <w:r>
        <w:rPr>
          <w:rFonts w:ascii="Helvetica Neue" w:hAnsi="Helvetica Neue"/>
          <w:sz w:val="30"/>
          <w:szCs w:val="30"/>
          <w:rtl w:val="0"/>
          <w:lang w:val="it-IT"/>
        </w:rPr>
        <w:t>Ms. Frizzle)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：而且还没有结束呢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fr-FR"/>
        </w:rPr>
        <w:t xml:space="preserve">Raphie 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我们去过嘴巴，也去过了食道，又去胃部，然后再去小肠，最后又去大肠，还要去哪里？特别大的大肠吗？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费老师：不，我们只是必须和其他消化废弃物</w:t>
      </w:r>
      <w:r>
        <w:rPr>
          <w:rFonts w:ascii="Helvetica Neue" w:hAnsi="Helvetica Neue"/>
          <w:sz w:val="30"/>
          <w:szCs w:val="30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一起走到终点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学生：什么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en-US"/>
        </w:rPr>
        <w:t>Dorothy Ann: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等一下，根据我的研究显示，废弃物排出去是走</w:t>
      </w:r>
      <w:r>
        <w:rPr>
          <w:rFonts w:ascii="Helvetica Neue" w:hAnsi="Helvetica Neue"/>
          <w:sz w:val="30"/>
          <w:szCs w:val="30"/>
          <w:rtl w:val="0"/>
        </w:rPr>
        <w:t>......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en-US"/>
        </w:rPr>
        <w:t xml:space="preserve">Keesha: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</w:rPr>
        <w:t>休想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nl-NL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我以前的学校，是不可能让学生掉进马桶里的。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老师：那么，你们有更好的点子吗？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汪达：我们可以回到嘴巴再玩一次啊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学生：汪达！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小提：他说得对，我们可以走原路回去。我一直在记录，看样子，消化系统只是分成好几段的消化道。一开始我们进入嘴巴，然后被挤入了食道，接著掉进胃部，又被推著进入小肠，最后我们来到大肠这里。既然我们都不想被排出去，我们只好掉头回去。我们大可走原路回去，从大肠走回小肠，再走回胃部，接著经过食道，最后再从嘴巴出去，那并不容易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老师：没错小题。消化系统将食物往下推，我们必须逆流而上，很可能会失败喔。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nl-NL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那可不一定喔，费老师。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亚诺</w:t>
      </w:r>
      <w:r>
        <w:rPr>
          <w:rFonts w:ascii="Helvetica Neue" w:hAnsi="Helvetica Neue"/>
          <w:sz w:val="30"/>
          <w:szCs w:val="30"/>
          <w:rtl w:val="0"/>
          <w:lang w:val="it-IT"/>
        </w:rPr>
        <w:t xml:space="preserve">(Arnold):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我要怎么靠吃午餐，才打破纪录呢？我连自己的午餐都找不到。不知道学校有没有规定，一定要吃自己的午餐。这里有巧克力棉花糖蛋糕。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老师：全速前进。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小题：这太疯狂了。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nl-NL"/>
        </w:rPr>
        <w:t xml:space="preserve">Phoebe: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总比被排出去来得好。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Helvetica Neue" w:hAnsi="Helvetica Neue"/>
          <w:sz w:val="30"/>
          <w:szCs w:val="30"/>
          <w:rtl w:val="0"/>
          <w:lang w:val="fr-FR"/>
        </w:rPr>
        <w:t xml:space="preserve">Raphie: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对了，骑单车是我最爱的运动。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老师：冲啊！轻松的部分结束了。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学生：这样算轻松？！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05"/>
        <w:gridCol w:w="1556"/>
        <w:gridCol w:w="6292"/>
      </w:tblGrid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魔法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enchantment / magic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校車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school bus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消化系統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digestive system / gastrointestinal tract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全世界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worldwide / entire world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狂野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coarse and wild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驚悚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horror (movie) / thriller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雲霄飛車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roller coaster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嘴巴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ba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mouth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ng] / slap in the face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个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食道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esophagus / the proper way to eat / food transportation route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小腸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small intestine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大腸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the large intestine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廢棄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discard / to abandon (old ways) / to invalidate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物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thing / object / matter / abbr. for physics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物理</w:t>
            </w:r>
          </w:p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終點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the end / end point / finishing line (in a race) / destination / terminus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个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休想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don't think (that) / don't imagine (that)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不可能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impossible / cannot / not able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馬桶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chamber pot / wooden pan used as toilet / toilet bowl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點子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nzi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spot / point / dot / speck / drop (of liquid) / droplet / point (of argument) / idea / crux / indication / pointer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回到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return to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分成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divide (into) / to split a bonus / to break into / tenths / percentage allotment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消化道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digestive tract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擠入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squeeze in / to force oneself into / to cram into / to intrude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掉頭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turn one's head / to turn round / to turn about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逆流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against the stream / adverse current / a counter-current / fig. reactionary tendency / to go against the trend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午餐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lunch / luncheon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n],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n],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紀錄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variant of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記錄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记录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ì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一定要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must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巧克力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chocolate (loanword) / CL: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塊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|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块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i]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棉花糖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cotton candy / candyfloss / marshmallow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全速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top speed / at full speed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30"/>
                <w:szCs w:val="30"/>
                <w:rtl w:val="0"/>
              </w:rPr>
              <w:t>單車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</w:p>
        </w:tc>
        <w:tc>
          <w:tcPr>
            <w:tcW w:type="dxa" w:w="6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(coll.) bicycle / bike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