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</w:rPr>
        <w:t>2020-10-08 05:30</w:t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ja-JP" w:eastAsia="ja-JP"/>
        </w:rPr>
        <w:t>孫宇青</w:t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Style w:val="Hyperlink.0"/>
          <w:rFonts w:ascii="Times Roman" w:cs="Times Roman" w:hAnsi="Times Roman" w:eastAsia="Times Roman"/>
          <w:sz w:val="26"/>
          <w:szCs w:val="26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z w:val="26"/>
          <w:szCs w:val="26"/>
        </w:rPr>
        <w:instrText xml:space="preserve"> HYPERLINK "https://features.ltn.com.tw/english/article/paper/1404689"</w:instrText>
      </w:r>
      <w:r>
        <w:rPr>
          <w:rStyle w:val="Hyperlink.0"/>
          <w:rFonts w:ascii="Times Roman" w:cs="Times Roman" w:hAnsi="Times Roman" w:eastAsia="Times Roman"/>
          <w:sz w:val="26"/>
          <w:szCs w:val="26"/>
        </w:rPr>
        <w:fldChar w:fldCharType="separate" w:fldLock="0"/>
      </w:r>
      <w:r>
        <w:rPr>
          <w:rStyle w:val="Hyperlink.0"/>
          <w:rFonts w:ascii="Times Roman" w:hAnsi="Times Roman"/>
          <w:sz w:val="26"/>
          <w:szCs w:val="26"/>
          <w:rtl w:val="0"/>
          <w:lang w:val="en-US"/>
        </w:rPr>
        <w:t>https://features.ltn.com.tw/english/article/paper/1404689</w:t>
      </w:r>
      <w:r>
        <w:rPr>
          <w:rFonts w:ascii="Times Roman" w:cs="Times Roman" w:hAnsi="Times Roman" w:eastAsia="Times Roman"/>
          <w:sz w:val="26"/>
          <w:szCs w:val="26"/>
        </w:rPr>
        <w:fldChar w:fldCharType="end" w:fldLock="0"/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30"/>
          <w:szCs w:val="30"/>
        </w:rPr>
      </w:pPr>
      <w:r>
        <w:rPr>
          <w:rFonts w:eastAsia="HanWangMingMediumChuIn" w:hint="eastAsia"/>
          <w:sz w:val="30"/>
          <w:szCs w:val="30"/>
          <w:rtl w:val="0"/>
        </w:rPr>
        <w:t>在</w:t>
      </w:r>
      <w:r>
        <w:rPr>
          <w:rFonts w:ascii="HanWangMingMediumChuIn" w:hAnsi="HanWangMingMediumChuIn"/>
          <w:sz w:val="30"/>
          <w:szCs w:val="30"/>
          <w:rtl w:val="0"/>
        </w:rPr>
        <w:t>2070</w:t>
      </w:r>
      <w:r>
        <w:rPr>
          <w:rFonts w:eastAsia="HanWangMingMediumChuIn" w:hint="eastAsia"/>
          <w:sz w:val="30"/>
          <w:szCs w:val="30"/>
          <w:rtl w:val="0"/>
        </w:rPr>
        <w:t>年，</w:t>
      </w:r>
      <w:r>
        <w:rPr>
          <w:rFonts w:eastAsia="HanWangMingMediumPoIn1" w:hint="eastAsia"/>
          <w:sz w:val="30"/>
          <w:szCs w:val="30"/>
          <w:rtl w:val="0"/>
          <w:lang w:val="zh-TW" w:eastAsia="zh-TW"/>
        </w:rPr>
        <w:t>數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 xml:space="preserve">十億人料將活在幾乎不宜居住的高溫環境 </w:t>
      </w: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30"/>
          <w:szCs w:val="30"/>
        </w:rPr>
      </w:pP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30"/>
          <w:szCs w:val="30"/>
        </w:rPr>
      </w:pPr>
      <w:r>
        <w:rPr>
          <w:rFonts w:ascii="HanWangMingMediumChuIn" w:hAnsi="HanWangMingMediumChuIn"/>
          <w:sz w:val="30"/>
          <w:szCs w:val="30"/>
          <w:rtl w:val="0"/>
        </w:rPr>
        <w:t>50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年內，有</w:t>
      </w:r>
      <w:r>
        <w:rPr>
          <w:rFonts w:ascii="HanWangMingMediumChuIn" w:hAnsi="HanWangMingMediumChuIn"/>
          <w:sz w:val="30"/>
          <w:szCs w:val="30"/>
          <w:rtl w:val="0"/>
        </w:rPr>
        <w:t>20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億至</w:t>
      </w:r>
      <w:r>
        <w:rPr>
          <w:rFonts w:ascii="HanWangMingMediumChuIn" w:hAnsi="HanWangMingMediumChuIn"/>
          <w:sz w:val="30"/>
          <w:szCs w:val="30"/>
          <w:rtl w:val="0"/>
        </w:rPr>
        <w:t>35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億人將活在難以忍受的歷史性高溫氣候中。《美國國家科學院院刊》一項研究推測，在最糟糕的情況下，約</w:t>
      </w:r>
      <w:r>
        <w:rPr>
          <w:rFonts w:ascii="HanWangMingMediumChuIn" w:hAnsi="HanWangMingMediumChuIn"/>
          <w:sz w:val="30"/>
          <w:szCs w:val="30"/>
          <w:rtl w:val="0"/>
        </w:rPr>
        <w:t>35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億人將活在極端高溫地區，相當於</w:t>
      </w:r>
      <w:r>
        <w:rPr>
          <w:rFonts w:ascii="HanWangMingMediumChuIn" w:hAnsi="HanWangMingMediumChuIn"/>
          <w:sz w:val="30"/>
          <w:szCs w:val="30"/>
          <w:rtl w:val="0"/>
        </w:rPr>
        <w:t>2070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年預估人口的</w:t>
      </w:r>
      <w:r>
        <w:rPr>
          <w:rFonts w:ascii="HanWangMingMediumChuIn" w:hAnsi="HanWangMingMediumChuIn"/>
          <w:sz w:val="30"/>
          <w:szCs w:val="30"/>
          <w:rtl w:val="0"/>
        </w:rPr>
        <w:t>3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分之</w:t>
      </w:r>
      <w:r>
        <w:rPr>
          <w:rFonts w:ascii="HanWangMingMediumChuIn" w:hAnsi="HanWangMingMediumChuIn"/>
          <w:sz w:val="30"/>
          <w:szCs w:val="30"/>
          <w:rtl w:val="0"/>
        </w:rPr>
        <w:t>1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。一個從特殊方式看待氣候變遷的國際科學家團隊，像研究熊、鳥、蜜蜂一樣研究人類，找出人類及其文明繁盛的「氣候利基」。他們回溯過去</w:t>
      </w:r>
      <w:r>
        <w:rPr>
          <w:rFonts w:ascii="HanWangMingMediumChuIn" w:hAnsi="HanWangMingMediumChuIn"/>
          <w:sz w:val="30"/>
          <w:szCs w:val="30"/>
          <w:rtl w:val="0"/>
          <w:lang w:val="de-DE"/>
        </w:rPr>
        <w:t>6000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年，發現人類的「溫度舒適帶」</w:t>
      </w:r>
      <w:r>
        <w:rPr>
          <w:rFonts w:eastAsia="HanWangMingMediumPoIn1" w:hint="eastAsia"/>
          <w:sz w:val="30"/>
          <w:szCs w:val="30"/>
          <w:rtl w:val="0"/>
          <w:lang w:val="zh-TW" w:eastAsia="zh-TW"/>
        </w:rPr>
        <w:t>為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年均溫攝氏</w:t>
      </w:r>
      <w:r>
        <w:rPr>
          <w:rFonts w:ascii="HanWangMingMediumChuIn" w:hAnsi="HanWangMingMediumChuIn"/>
          <w:sz w:val="30"/>
          <w:szCs w:val="30"/>
          <w:rtl w:val="0"/>
        </w:rPr>
        <w:t>11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度至</w:t>
      </w:r>
      <w:r>
        <w:rPr>
          <w:rFonts w:ascii="HanWangMingMediumChuIn" w:hAnsi="HanWangMingMediumChuIn"/>
          <w:sz w:val="30"/>
          <w:szCs w:val="30"/>
          <w:rtl w:val="0"/>
        </w:rPr>
        <w:t>15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度之間。</w:t>
      </w: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30"/>
          <w:szCs w:val="30"/>
        </w:rPr>
      </w:pP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Body"/>
        <w:jc w:val="both"/>
        <w:rPr>
          <w:rFonts w:ascii="Hanzi-Pinyin-Font" w:cs="Hanzi-Pinyin-Font" w:hAnsi="Hanzi-Pinyin-Font" w:eastAsia="Hanzi-Pinyin-Font"/>
          <w:sz w:val="40"/>
          <w:szCs w:val="40"/>
        </w:rPr>
      </w:pPr>
      <w:r>
        <w:rPr>
          <w:rFonts w:eastAsia="Hanzi-Pinyin-Font" w:hint="eastAsia"/>
          <w:sz w:val="40"/>
          <w:szCs w:val="40"/>
          <w:rtl w:val="0"/>
        </w:rPr>
        <w:t>在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2070</w:t>
      </w:r>
      <w:r>
        <w:rPr>
          <w:rFonts w:eastAsia="Hanzi-Pinyin-Font" w:hint="eastAsia"/>
          <w:sz w:val="40"/>
          <w:szCs w:val="40"/>
          <w:rtl w:val="0"/>
        </w:rPr>
        <w:t>年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数十亿人料将活在几乎不宜居住的高温环境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 xml:space="preserve"> </w:t>
      </w:r>
    </w:p>
    <w:p>
      <w:pPr>
        <w:pStyle w:val="Body"/>
        <w:jc w:val="both"/>
        <w:rPr>
          <w:rFonts w:ascii="Hanzi-Pinyin-Font" w:cs="Hanzi-Pinyin-Font" w:hAnsi="Hanzi-Pinyin-Font" w:eastAsia="Hanzi-Pinyin-Font"/>
          <w:sz w:val="40"/>
          <w:szCs w:val="40"/>
        </w:rPr>
      </w:pPr>
    </w:p>
    <w:p>
      <w:pPr>
        <w:pStyle w:val="Body"/>
        <w:jc w:val="both"/>
        <w:rPr>
          <w:rFonts w:ascii="Hanzi-Pinyin-Font" w:cs="Hanzi-Pinyin-Font" w:hAnsi="Hanzi-Pinyin-Font" w:eastAsia="Hanzi-Pinyin-Font"/>
          <w:sz w:val="40"/>
          <w:szCs w:val="4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50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年内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</w:rPr>
        <w:t>有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20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亿至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35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亿人将活在难以忍受的历史性高温气候中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。《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美国国家科学院院刊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》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一项研究推测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在最糟糕的情况下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35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亿人将活在极端高温地区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相当于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2070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年预估人口的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3</w:t>
      </w:r>
      <w:r>
        <w:rPr>
          <w:rFonts w:eastAsia="Hanzi-Pinyin-Font" w:hint="eastAsia"/>
          <w:sz w:val="40"/>
          <w:szCs w:val="40"/>
          <w:rtl w:val="0"/>
          <w:lang w:val="zh-TW" w:eastAsia="zh-TW"/>
        </w:rPr>
        <w:t>分之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一个从特殊方式看待气候变迁的国际科学家团队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ja-JP" w:eastAsia="ja-JP"/>
        </w:rPr>
        <w:t>像研究熊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  <w:lang w:val="zh-TW" w:eastAsia="zh-TW"/>
        </w:rPr>
        <w:t>、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鸟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  <w:lang w:val="zh-TW" w:eastAsia="zh-TW"/>
        </w:rPr>
        <w:t>、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蜜蜂一样研究人类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找出人类及其文明繁盛的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气候利基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」。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他们回溯过去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  <w:lang w:val="de-DE"/>
        </w:rPr>
        <w:t>6000</w:t>
      </w:r>
      <w:r>
        <w:rPr>
          <w:rFonts w:eastAsia="Hanzi-Pinyin-Font" w:hint="eastAsia"/>
          <w:sz w:val="40"/>
          <w:szCs w:val="40"/>
          <w:rtl w:val="0"/>
        </w:rPr>
        <w:t>年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发现人类的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温度舒适带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」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为年均温摄氏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11</w:t>
      </w:r>
      <w:r>
        <w:rPr>
          <w:rFonts w:eastAsia="Hanzi-Pinyin-Font" w:hint="eastAsia"/>
          <w:sz w:val="40"/>
          <w:szCs w:val="40"/>
          <w:rtl w:val="0"/>
          <w:lang w:val="zh-TW" w:eastAsia="zh-TW"/>
        </w:rPr>
        <w:t>度至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15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度之间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Body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Billions projected to suffer nearly unlivable heat in 2070 </w:t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In just 50 years, 2 billion to 3.5 billion people will be living in a climate that historically has been too hot to handle.</w:t>
      </w:r>
      <w:r>
        <w:rPr>
          <w:rFonts w:ascii="Times Roman" w:hAnsi="Times Roman"/>
          <w:sz w:val="26"/>
          <w:szCs w:val="26"/>
          <w:rtl w:val="0"/>
          <w:lang w:val="zh-TW" w:eastAsia="zh-TW"/>
        </w:rPr>
        <w:t xml:space="preserve"> 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Under the worst-case scenarios, the study in the journal Proceedings of the National Academy of Sciences predicts about 3.5 billion people will live in extremely hot areas. </w:t>
      </w:r>
      <w:r>
        <w:rPr>
          <w:rFonts w:ascii="Times Roman" w:hAnsi="Times Roman"/>
          <w:sz w:val="26"/>
          <w:szCs w:val="26"/>
          <w:rtl w:val="0"/>
          <w:lang w:val="zh-TW" w:eastAsia="zh-TW"/>
        </w:rPr>
        <w:t xml:space="preserve"> </w:t>
      </w:r>
      <w:r>
        <w:rPr>
          <w:rFonts w:ascii="Times Roman" w:hAnsi="Times Roman"/>
          <w:sz w:val="26"/>
          <w:szCs w:val="26"/>
          <w:rtl w:val="0"/>
          <w:lang w:val="en-US"/>
        </w:rPr>
        <w:t>That</w:t>
      </w:r>
      <w:r>
        <w:rPr>
          <w:rFonts w:ascii="Times Roman" w:hAnsi="Times Roman" w:hint="default"/>
          <w:sz w:val="26"/>
          <w:szCs w:val="26"/>
          <w:rtl w:val="1"/>
        </w:rPr>
        <w:t>’</w:t>
      </w:r>
      <w:r>
        <w:rPr>
          <w:rFonts w:ascii="Times Roman" w:hAnsi="Times Roman"/>
          <w:sz w:val="26"/>
          <w:szCs w:val="26"/>
          <w:rtl w:val="0"/>
          <w:lang w:val="en-US"/>
        </w:rPr>
        <w:t>s a third of the projected 2070 population.</w:t>
      </w:r>
      <w:r>
        <w:rPr>
          <w:rFonts w:ascii="Times Roman" w:hAnsi="Times Roman"/>
          <w:sz w:val="26"/>
          <w:szCs w:val="26"/>
          <w:rtl w:val="0"/>
          <w:lang w:val="zh-TW" w:eastAsia="zh-TW"/>
        </w:rPr>
        <w:t xml:space="preserve">  </w:t>
      </w:r>
      <w:r>
        <w:rPr>
          <w:rFonts w:ascii="Times Roman" w:hAnsi="Times Roman"/>
          <w:sz w:val="26"/>
          <w:szCs w:val="26"/>
          <w:rtl w:val="0"/>
          <w:lang w:val="en-US"/>
        </w:rPr>
        <w:t>In an unusual way to look at climate change, a team of international scientists studied humans like they do bears, birds and bees to find the "climate niche" where people and civilizations flourish.</w:t>
      </w:r>
      <w:r>
        <w:rPr>
          <w:rFonts w:ascii="Times Roman" w:hAnsi="Times Roman"/>
          <w:sz w:val="26"/>
          <w:szCs w:val="26"/>
          <w:rtl w:val="0"/>
          <w:lang w:val="zh-TW" w:eastAsia="zh-TW"/>
        </w:rPr>
        <w:t xml:space="preserve">  </w:t>
      </w:r>
      <w:r>
        <w:rPr>
          <w:rFonts w:ascii="Times Roman" w:hAnsi="Times Roman"/>
          <w:sz w:val="26"/>
          <w:szCs w:val="26"/>
          <w:rtl w:val="0"/>
          <w:lang w:val="en-US"/>
        </w:rPr>
        <w:t>They looked back 6,000 years to come up with a sweet spot of temperatures for humanity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</w:rPr>
        <w:t>：</w:t>
      </w:r>
      <w:r>
        <w:rPr>
          <w:rFonts w:ascii="Times Roman" w:hAnsi="Times Roman"/>
          <w:sz w:val="26"/>
          <w:szCs w:val="26"/>
          <w:rtl w:val="0"/>
          <w:lang w:val="en-US"/>
        </w:rPr>
        <w:t>Average annual temperatures between 11 to 15 degrees Celsius.</w:t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</w:p>
    <w:tbl>
      <w:tblPr>
        <w:tblW w:w="1007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92"/>
        <w:gridCol w:w="891"/>
        <w:gridCol w:w="7996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數十億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</w:p>
        </w:tc>
        <w:tc>
          <w:tcPr>
            <w:tcW w:type="dxa" w:w="7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several billion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不宜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</w:p>
        </w:tc>
        <w:tc>
          <w:tcPr>
            <w:tcW w:type="dxa" w:w="7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not suitable / inadvisable / inappropriate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高溫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g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ow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ē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high temperature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難以忍受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ǐ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</w:t>
            </w:r>
          </w:p>
        </w:tc>
        <w:tc>
          <w:tcPr>
            <w:tcW w:type="dxa" w:w="7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hard to endure / unbearable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歷史性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ǐ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x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7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historic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刊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to print / to publish / publication / periodical / to peel with a knife / to carve 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推測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c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</w:p>
        </w:tc>
        <w:tc>
          <w:tcPr>
            <w:tcW w:type="dxa" w:w="7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speculation / to conjecture / to surmise / to speculate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相當於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xi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ú</w:t>
            </w:r>
          </w:p>
        </w:tc>
        <w:tc>
          <w:tcPr>
            <w:tcW w:type="dxa" w:w="7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equivalent to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預估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g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ū</w:t>
            </w:r>
          </w:p>
        </w:tc>
        <w:tc>
          <w:tcPr>
            <w:tcW w:type="dxa" w:w="7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estimate / to forecast / prediction / projection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看待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</w:t>
            </w:r>
          </w:p>
        </w:tc>
        <w:tc>
          <w:tcPr>
            <w:tcW w:type="dxa" w:w="7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look upon / to regard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變遷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nqi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changes / vicissitudes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團隊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ndu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</w:p>
        </w:tc>
        <w:tc>
          <w:tcPr>
            <w:tcW w:type="dxa" w:w="7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team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及其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j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q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</w:p>
        </w:tc>
        <w:tc>
          <w:tcPr>
            <w:tcW w:type="dxa" w:w="7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and / as well as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繁盛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7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prosperous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利基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j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ī</w:t>
            </w:r>
          </w:p>
        </w:tc>
        <w:tc>
          <w:tcPr>
            <w:tcW w:type="dxa" w:w="7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niche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回溯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</w:p>
        </w:tc>
        <w:tc>
          <w:tcPr>
            <w:tcW w:type="dxa" w:w="7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recall / to look back upon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年均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ni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nj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annual average (rate)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anWangMingMediumChuIn">
    <w:charset w:val="00"/>
    <w:family w:val="roman"/>
    <w:pitch w:val="default"/>
  </w:font>
  <w:font w:name="HanWangMingMediumPoIn1">
    <w:charset w:val="00"/>
    <w:family w:val="roman"/>
    <w:pitch w:val="default"/>
  </w:font>
  <w:font w:name="Hanzi-Pinyin-Fo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rPr>
        <w:sz w:val="18"/>
        <w:szCs w:val="18"/>
        <w:rtl w:val="0"/>
        <w:lang w:val="zh-TW" w:eastAsia="zh-TW"/>
      </w:rPr>
      <w:t xml:space="preserve">*I included zhuyin &amp; pinyin for your benefit.  They are not 100% correct, given alternative pronunciation.  You may alter them as you see fit.  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8"/>
        <w:szCs w:val="18"/>
        <w:rtl w:val="0"/>
        <w:lang w:val="zh-TW" w:eastAsia="zh-TW"/>
      </w:rPr>
      <w:t>我提供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8"/>
        <w:szCs w:val="18"/>
        <w:rtl w:val="0"/>
        <w:lang w:val="zh-TW" w:eastAsia="zh-TW"/>
      </w:rPr>
      <w:t>注音和拼音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8"/>
        <w:szCs w:val="18"/>
        <w:rtl w:val="0"/>
        <w:lang w:val="zh-TW" w:eastAsia="zh-TW"/>
      </w:rPr>
      <w:t>是為了家長和學生方便，但因為有多音字（破音字），不ㄧ定完全正確，請自行更改。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