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b/>
          <w:color w:val="auto"/>
          <w:spacing w:val="0"/>
          <w:position w:val="0"/>
          <w:sz w:val="22"/>
          <w:shd w:fill="auto" w:val="clear"/>
        </w:rPr>
        <w:t xml:space="preserve">韩信中计被擒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当年汉高祖刘邦在建立汉朝时，为了奖励将领为自己效命，便採用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封诸侯王的方式，因此这些受封的将领都各自拥有强大的兵力及领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土，在汉朝政局渐渐稳定时，高祖便开始忧心将领会叛变，其中功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劳最多的韩信便是首当其冲。谋士陈平便向高祖献计，设计要引诱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韩信离开自己强大的势力范围，到时候再趁势将韩信一举擒来。于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是在汉高祖六年(西元前201年)那一年，刘邦藉故要到云梦(今湖北省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长江南北)一带去游玩，下令要那些被册封的各诸侯王到陈丘来见自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己，等到韩信到达的时候，高祖便告诉韩信说有人密告他要造反，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于是，当场将韩信抓起来，并且押回到洛阳，接着便下令废掉他的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王位，降为淮阴侯。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三十六计之第十五计：调虎离山 引诱敌人离开他的据点，使敌人居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于不利的条件，再趁机攻打敌人。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